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83C" w:rsidRPr="0061683C" w:rsidRDefault="0061683C" w:rsidP="004738F6">
      <w:pPr>
        <w:rPr>
          <w:rFonts w:cs="Arial"/>
        </w:rPr>
      </w:pPr>
    </w:p>
    <w:p w:rsidR="001A63FE" w:rsidRPr="00FD0C6B" w:rsidRDefault="001A63FE" w:rsidP="0061683C">
      <w:pPr>
        <w:jc w:val="center"/>
        <w:textAlignment w:val="baseline"/>
        <w:rPr>
          <w:rFonts w:cs="Arial"/>
          <w:b/>
          <w:color w:val="232629"/>
          <w:sz w:val="22"/>
          <w:szCs w:val="22"/>
        </w:rPr>
      </w:pPr>
      <w:r w:rsidRPr="00FD0C6B">
        <w:rPr>
          <w:rFonts w:cs="Arial"/>
          <w:b/>
          <w:color w:val="232629"/>
          <w:sz w:val="22"/>
          <w:szCs w:val="22"/>
        </w:rPr>
        <w:t>CICC 2017 welcomes submissions of original and unpublished work on:</w:t>
      </w:r>
    </w:p>
    <w:p w:rsidR="00F8607C" w:rsidRPr="00FD0C6B" w:rsidRDefault="00F8607C" w:rsidP="0061683C">
      <w:pPr>
        <w:jc w:val="center"/>
        <w:textAlignment w:val="baseline"/>
        <w:rPr>
          <w:rFonts w:cs="Arial"/>
          <w:b/>
          <w:color w:val="232629"/>
          <w:sz w:val="22"/>
          <w:szCs w:val="22"/>
        </w:rPr>
      </w:pPr>
    </w:p>
    <w:p w:rsidR="00F8607C" w:rsidRPr="00FD0C6B" w:rsidRDefault="00F8607C" w:rsidP="00D73BAD">
      <w:pPr>
        <w:jc w:val="both"/>
        <w:rPr>
          <w:sz w:val="22"/>
          <w:szCs w:val="22"/>
        </w:rPr>
      </w:pPr>
      <w:r w:rsidRPr="00FD0C6B">
        <w:rPr>
          <w:b/>
          <w:bCs/>
          <w:i/>
          <w:iCs/>
          <w:sz w:val="22"/>
          <w:szCs w:val="22"/>
        </w:rPr>
        <w:t>Analog Circuits and Techniques</w:t>
      </w:r>
      <w:r w:rsidRPr="00FD0C6B">
        <w:rPr>
          <w:sz w:val="22"/>
          <w:szCs w:val="22"/>
        </w:rPr>
        <w:t> for areas such as communications, biomedical, aerospace, automotive, energy, environment, analog computing and security applications, ranging from building blocks to silicon sensors, interfaces, and novel clock generation architectures.</w:t>
      </w:r>
    </w:p>
    <w:p w:rsidR="001A63FE" w:rsidRPr="00FD0C6B" w:rsidRDefault="001A63FE" w:rsidP="00D73BAD">
      <w:pPr>
        <w:jc w:val="both"/>
        <w:textAlignment w:val="baseline"/>
        <w:rPr>
          <w:rFonts w:cs="Arial"/>
          <w:color w:val="232629"/>
          <w:sz w:val="22"/>
          <w:szCs w:val="22"/>
        </w:rPr>
      </w:pPr>
    </w:p>
    <w:p w:rsidR="00F67956" w:rsidRPr="00FD0C6B" w:rsidRDefault="00FF0EC6" w:rsidP="00D73BAD">
      <w:pPr>
        <w:jc w:val="both"/>
        <w:rPr>
          <w:rFonts w:cs="Arial"/>
          <w:color w:val="000000"/>
          <w:sz w:val="22"/>
          <w:szCs w:val="22"/>
        </w:rPr>
      </w:pPr>
      <w:r w:rsidRPr="00FD0C6B">
        <w:rPr>
          <w:rFonts w:cs="Arial"/>
          <w:b/>
          <w:i/>
          <w:sz w:val="22"/>
          <w:szCs w:val="22"/>
        </w:rPr>
        <w:t>Power Management</w:t>
      </w:r>
      <w:r w:rsidRPr="00FD0C6B">
        <w:rPr>
          <w:rFonts w:cs="Arial"/>
          <w:sz w:val="22"/>
          <w:szCs w:val="22"/>
        </w:rPr>
        <w:t xml:space="preserve"> </w:t>
      </w:r>
      <w:r w:rsidR="00F8607C" w:rsidRPr="00FD0C6B">
        <w:rPr>
          <w:rFonts w:cs="Arial"/>
          <w:color w:val="000000"/>
          <w:sz w:val="22"/>
          <w:szCs w:val="22"/>
        </w:rPr>
        <w:t>circuits and design techniques including DC-DC converters, control and management circuits, linear regulators, wireless power transfer, and other methods for improvements in overall system efficiency and performance.</w:t>
      </w:r>
    </w:p>
    <w:p w:rsidR="00F67956" w:rsidRPr="00FD0C6B" w:rsidRDefault="00F67956" w:rsidP="00D73BAD">
      <w:pPr>
        <w:jc w:val="both"/>
        <w:rPr>
          <w:rFonts w:cs="Arial"/>
          <w:color w:val="000000"/>
          <w:sz w:val="22"/>
          <w:szCs w:val="22"/>
        </w:rPr>
      </w:pPr>
    </w:p>
    <w:p w:rsidR="00FF0EC6" w:rsidRPr="00FD0C6B" w:rsidRDefault="00FF0EC6" w:rsidP="00D73BAD">
      <w:pPr>
        <w:jc w:val="both"/>
        <w:rPr>
          <w:rFonts w:cs="Arial"/>
          <w:sz w:val="22"/>
          <w:szCs w:val="22"/>
        </w:rPr>
      </w:pPr>
      <w:r w:rsidRPr="00FD0C6B">
        <w:rPr>
          <w:rFonts w:cs="Arial"/>
          <w:b/>
          <w:bCs/>
          <w:i/>
          <w:sz w:val="22"/>
          <w:szCs w:val="22"/>
        </w:rPr>
        <w:t>Data Converters</w:t>
      </w:r>
      <w:r w:rsidRPr="00FD0C6B">
        <w:rPr>
          <w:rFonts w:cs="Arial"/>
          <w:bCs/>
          <w:sz w:val="22"/>
          <w:szCs w:val="22"/>
        </w:rPr>
        <w:t xml:space="preserve"> </w:t>
      </w:r>
      <w:r w:rsidR="00F8607C" w:rsidRPr="00FD0C6B">
        <w:rPr>
          <w:sz w:val="22"/>
          <w:szCs w:val="22"/>
        </w:rPr>
        <w:t>of all types enabled by new techniques, architectures, or technologies.</w:t>
      </w:r>
    </w:p>
    <w:p w:rsidR="00FF0EC6" w:rsidRPr="00FD0C6B" w:rsidRDefault="00FF0EC6" w:rsidP="00D73BAD">
      <w:pPr>
        <w:jc w:val="both"/>
        <w:rPr>
          <w:rFonts w:cs="Arial"/>
          <w:sz w:val="22"/>
          <w:szCs w:val="22"/>
        </w:rPr>
      </w:pPr>
    </w:p>
    <w:p w:rsidR="001A63FE" w:rsidRPr="00FD0C6B" w:rsidRDefault="00F8607C" w:rsidP="00D73BAD">
      <w:pPr>
        <w:jc w:val="both"/>
        <w:textAlignment w:val="baseline"/>
        <w:rPr>
          <w:rFonts w:cs="Arial"/>
          <w:color w:val="000000"/>
          <w:sz w:val="22"/>
          <w:szCs w:val="22"/>
        </w:rPr>
      </w:pPr>
      <w:r w:rsidRPr="00FD0C6B">
        <w:rPr>
          <w:rFonts w:cs="Arial"/>
          <w:b/>
          <w:bCs/>
          <w:i/>
          <w:iCs/>
          <w:color w:val="000000"/>
          <w:sz w:val="22"/>
          <w:szCs w:val="22"/>
        </w:rPr>
        <w:t>Wireless Transceivers and RF/mm-Wave Circuits</w:t>
      </w:r>
      <w:r w:rsidRPr="00FD0C6B">
        <w:rPr>
          <w:rFonts w:cs="Arial"/>
          <w:color w:val="000000"/>
          <w:sz w:val="22"/>
          <w:szCs w:val="22"/>
        </w:rPr>
        <w:t xml:space="preserve"> for low-power, energy-efficient and high performance wireless links, biomedical and sensing networks, IoT applications, cellular connectivity including M2M applications (LTE-M, NB-IoT), emerging broadband and MIMO networks (5G, WLAN), vehicle-to-vehicle (V2V), millimeter-wave &amp; THz systems (radar, sensing and imaging), frequency synthesis and LO generation.</w:t>
      </w:r>
    </w:p>
    <w:p w:rsidR="00F8607C" w:rsidRPr="00FD0C6B" w:rsidRDefault="00F8607C" w:rsidP="00D73BAD">
      <w:pPr>
        <w:jc w:val="both"/>
        <w:textAlignment w:val="baseline"/>
        <w:rPr>
          <w:rFonts w:cs="Arial"/>
          <w:color w:val="232629"/>
          <w:sz w:val="22"/>
          <w:szCs w:val="22"/>
        </w:rPr>
      </w:pPr>
    </w:p>
    <w:p w:rsidR="00F8607C" w:rsidRPr="00FD0C6B" w:rsidRDefault="00F8607C" w:rsidP="00D73BAD">
      <w:pPr>
        <w:jc w:val="both"/>
        <w:textAlignment w:val="baseline"/>
        <w:rPr>
          <w:rFonts w:cs="Arial"/>
          <w:sz w:val="22"/>
          <w:szCs w:val="22"/>
        </w:rPr>
      </w:pPr>
      <w:r w:rsidRPr="00FD0C6B">
        <w:rPr>
          <w:b/>
          <w:bCs/>
          <w:i/>
          <w:iCs/>
          <w:sz w:val="22"/>
          <w:szCs w:val="22"/>
        </w:rPr>
        <w:t>Wireline and Optical Communications Circuits and Systems</w:t>
      </w:r>
      <w:r w:rsidRPr="00FD0C6B">
        <w:rPr>
          <w:sz w:val="22"/>
          <w:szCs w:val="22"/>
        </w:rPr>
        <w:t> for electrical and optical communications, including serial links for intra-chip and chip-to-chip interconnections, high-speed memory and graphics interfaces, backplanes, long-haul, and power line communications; novel I/O circuits for advancing data rates, improving power efficiency, and supporting extended voltage applications; clocking techniques including PLLs and CDRs; components such as equalizers, high-speed ADC-RX/DAC-TX, silicon photonic and optical interface circuitry.</w:t>
      </w:r>
    </w:p>
    <w:p w:rsidR="00FF0EC6" w:rsidRPr="00FD0C6B" w:rsidRDefault="00FF0EC6" w:rsidP="00D73BAD">
      <w:pPr>
        <w:jc w:val="both"/>
        <w:textAlignment w:val="baseline"/>
        <w:rPr>
          <w:rFonts w:cs="Arial"/>
          <w:color w:val="232629"/>
          <w:sz w:val="22"/>
          <w:szCs w:val="22"/>
        </w:rPr>
      </w:pPr>
    </w:p>
    <w:p w:rsidR="00F8607C" w:rsidRPr="00FD0C6B" w:rsidRDefault="00F8607C" w:rsidP="00D73BAD">
      <w:pPr>
        <w:shd w:val="clear" w:color="auto" w:fill="FFFFFF"/>
        <w:jc w:val="both"/>
        <w:rPr>
          <w:rFonts w:cs="Arial"/>
          <w:color w:val="000000" w:themeColor="text1"/>
          <w:sz w:val="22"/>
          <w:szCs w:val="22"/>
        </w:rPr>
      </w:pPr>
      <w:r w:rsidRPr="00FD0C6B">
        <w:rPr>
          <w:rFonts w:cs="Arial"/>
          <w:b/>
          <w:i/>
          <w:color w:val="000000" w:themeColor="text1"/>
          <w:sz w:val="22"/>
          <w:szCs w:val="22"/>
        </w:rPr>
        <w:t xml:space="preserve">Design Foundations - </w:t>
      </w:r>
      <w:r w:rsidRPr="00FD0C6B">
        <w:rPr>
          <w:rFonts w:cs="Arial"/>
          <w:color w:val="000000" w:themeColor="text1"/>
          <w:sz w:val="22"/>
          <w:szCs w:val="22"/>
        </w:rPr>
        <w:t xml:space="preserve">High-level system modeling, digital design infrastructure, and mixed-mode (analog-digital) verification for complex SOCs. Novel digital architectures for emerging applications. Design methodologies for functional safety. </w:t>
      </w:r>
    </w:p>
    <w:p w:rsidR="00F8607C" w:rsidRPr="00FD0C6B" w:rsidRDefault="00F8607C" w:rsidP="00D73BAD">
      <w:pPr>
        <w:jc w:val="both"/>
        <w:rPr>
          <w:rFonts w:cs="Arial"/>
          <w:color w:val="000000" w:themeColor="text1"/>
          <w:sz w:val="22"/>
          <w:szCs w:val="22"/>
        </w:rPr>
      </w:pPr>
    </w:p>
    <w:p w:rsidR="00F8607C" w:rsidRPr="00FD0C6B" w:rsidRDefault="00F8607C" w:rsidP="00D73BAD">
      <w:pPr>
        <w:jc w:val="both"/>
        <w:rPr>
          <w:rFonts w:cs="Arial"/>
          <w:color w:val="000000" w:themeColor="text1"/>
          <w:sz w:val="22"/>
          <w:szCs w:val="22"/>
        </w:rPr>
      </w:pPr>
      <w:r w:rsidRPr="00FD0C6B">
        <w:rPr>
          <w:rFonts w:cs="Arial"/>
          <w:color w:val="000000" w:themeColor="text1"/>
          <w:sz w:val="22"/>
          <w:szCs w:val="22"/>
        </w:rPr>
        <w:t>Modeling and simulation of advanced CMOS and power devices to improve design quality, efficiency, and reliability. Design methodologies for emerging applications (deep learning, automobile, IoT, security), and design for manufacture, test, aging and reliability (novel DFT circuits, system-level testing).</w:t>
      </w:r>
    </w:p>
    <w:p w:rsidR="00F8607C" w:rsidRPr="00FD0C6B" w:rsidRDefault="00F8607C" w:rsidP="00D73BAD">
      <w:pPr>
        <w:jc w:val="both"/>
        <w:rPr>
          <w:rFonts w:cs="Arial"/>
          <w:color w:val="000000" w:themeColor="text1"/>
          <w:sz w:val="22"/>
          <w:szCs w:val="22"/>
        </w:rPr>
      </w:pPr>
    </w:p>
    <w:p w:rsidR="0038163C" w:rsidRPr="00FD0C6B" w:rsidRDefault="0038163C" w:rsidP="0038163C">
      <w:pPr>
        <w:spacing w:after="160" w:line="259" w:lineRule="auto"/>
        <w:jc w:val="both"/>
        <w:rPr>
          <w:rFonts w:cs="Arial"/>
          <w:i/>
          <w:sz w:val="22"/>
          <w:szCs w:val="22"/>
        </w:rPr>
      </w:pPr>
      <w:r w:rsidRPr="00FD0C6B">
        <w:rPr>
          <w:rFonts w:cs="Arial"/>
          <w:b/>
          <w:bCs/>
          <w:i/>
          <w:sz w:val="22"/>
          <w:szCs w:val="22"/>
        </w:rPr>
        <w:t xml:space="preserve">Emerging </w:t>
      </w:r>
      <w:bookmarkStart w:id="0" w:name="_GoBack"/>
      <w:bookmarkEnd w:id="0"/>
      <w:r w:rsidRPr="00FD0C6B">
        <w:rPr>
          <w:rFonts w:cs="Arial"/>
          <w:b/>
          <w:bCs/>
          <w:i/>
          <w:sz w:val="22"/>
          <w:szCs w:val="22"/>
        </w:rPr>
        <w:t>Technologies, Systems, and Applications</w:t>
      </w:r>
    </w:p>
    <w:p w:rsidR="0038163C" w:rsidRPr="00FD0C6B" w:rsidRDefault="0038163C" w:rsidP="0038163C">
      <w:pPr>
        <w:spacing w:after="160" w:line="259" w:lineRule="auto"/>
        <w:jc w:val="both"/>
        <w:rPr>
          <w:rFonts w:cs="Arial"/>
          <w:sz w:val="22"/>
          <w:szCs w:val="22"/>
        </w:rPr>
      </w:pPr>
      <w:r w:rsidRPr="00FD0C6B">
        <w:rPr>
          <w:rFonts w:cs="Arial"/>
          <w:sz w:val="22"/>
          <w:szCs w:val="22"/>
        </w:rPr>
        <w:t>Emerging technologies solicit hardware focused papers in the technologies of tomorrow extending from new device and memory technology to system integration, applications and packaging with focus on, but not limited to:</w:t>
      </w:r>
    </w:p>
    <w:p w:rsidR="0038163C" w:rsidRPr="00FD0C6B" w:rsidRDefault="0038163C" w:rsidP="0023556D">
      <w:pPr>
        <w:numPr>
          <w:ilvl w:val="0"/>
          <w:numId w:val="2"/>
        </w:numPr>
        <w:spacing w:after="160" w:line="259" w:lineRule="auto"/>
        <w:jc w:val="both"/>
        <w:rPr>
          <w:rFonts w:cs="Arial"/>
          <w:sz w:val="22"/>
          <w:szCs w:val="22"/>
        </w:rPr>
      </w:pPr>
      <w:r w:rsidRPr="00FD0C6B">
        <w:rPr>
          <w:rFonts w:cs="Arial"/>
          <w:b/>
          <w:bCs/>
          <w:sz w:val="22"/>
          <w:szCs w:val="22"/>
        </w:rPr>
        <w:t xml:space="preserve">Hardware-based artificial intelligence and security. </w:t>
      </w:r>
      <w:r w:rsidRPr="00FD0C6B">
        <w:rPr>
          <w:rFonts w:cs="Arial"/>
          <w:sz w:val="22"/>
          <w:szCs w:val="22"/>
        </w:rPr>
        <w:t>Hardware designs for emerging algorithms, hardware security, hardware and energy-efficient artificial intelligence, machine learning, deep learning accelerators. Applications include autonomous transportation and cloud computing.</w:t>
      </w:r>
    </w:p>
    <w:p w:rsidR="0038163C" w:rsidRPr="00FD0C6B" w:rsidRDefault="0038163C" w:rsidP="005239B4">
      <w:pPr>
        <w:numPr>
          <w:ilvl w:val="0"/>
          <w:numId w:val="2"/>
        </w:numPr>
        <w:spacing w:after="160" w:line="259" w:lineRule="auto"/>
        <w:jc w:val="both"/>
        <w:rPr>
          <w:rFonts w:cs="Arial"/>
          <w:sz w:val="22"/>
          <w:szCs w:val="22"/>
        </w:rPr>
      </w:pPr>
      <w:r w:rsidRPr="00FD0C6B">
        <w:rPr>
          <w:rFonts w:cs="Arial"/>
          <w:b/>
          <w:bCs/>
          <w:sz w:val="22"/>
          <w:szCs w:val="22"/>
        </w:rPr>
        <w:t>Next-generation devices, technology, integration and packaging</w:t>
      </w:r>
      <w:r w:rsidRPr="00FD0C6B">
        <w:rPr>
          <w:rFonts w:cs="Arial"/>
          <w:bCs/>
          <w:sz w:val="22"/>
          <w:szCs w:val="22"/>
        </w:rPr>
        <w:t xml:space="preserve"> including </w:t>
      </w:r>
      <w:proofErr w:type="spellStart"/>
      <w:r w:rsidRPr="00FD0C6B">
        <w:rPr>
          <w:rFonts w:cs="Arial"/>
          <w:bCs/>
          <w:sz w:val="22"/>
          <w:szCs w:val="22"/>
        </w:rPr>
        <w:t>n</w:t>
      </w:r>
      <w:r w:rsidRPr="00FD0C6B">
        <w:rPr>
          <w:rFonts w:cs="Arial"/>
          <w:sz w:val="22"/>
          <w:szCs w:val="22"/>
        </w:rPr>
        <w:t>ano</w:t>
      </w:r>
      <w:proofErr w:type="spellEnd"/>
      <w:r w:rsidRPr="00FD0C6B">
        <w:rPr>
          <w:rFonts w:cs="Arial"/>
          <w:sz w:val="22"/>
          <w:szCs w:val="22"/>
        </w:rPr>
        <w:t xml:space="preserve">-primitives, non-silicon based technology, MEMS, emerging memories, non-traditional circuits, mm-wave/THz passives and integration, flexible, printed, large-area and organic electronics. system in package, 2.5D, 3D and monolithic 3DIC, multi-die heterogeneous integration, silicon photonic interconnects and packaging, advanced assembly and bonding, embedded cooling technologies, </w:t>
      </w:r>
    </w:p>
    <w:p w:rsidR="0038163C" w:rsidRPr="00FD0C6B" w:rsidRDefault="0038163C" w:rsidP="0038163C">
      <w:pPr>
        <w:numPr>
          <w:ilvl w:val="0"/>
          <w:numId w:val="2"/>
        </w:numPr>
        <w:spacing w:after="160" w:line="259" w:lineRule="auto"/>
        <w:jc w:val="both"/>
        <w:rPr>
          <w:rFonts w:cs="Arial"/>
          <w:sz w:val="22"/>
          <w:szCs w:val="22"/>
        </w:rPr>
      </w:pPr>
      <w:r w:rsidRPr="00FD0C6B">
        <w:rPr>
          <w:rFonts w:cs="Arial"/>
          <w:b/>
          <w:bCs/>
          <w:sz w:val="22"/>
          <w:szCs w:val="22"/>
        </w:rPr>
        <w:t xml:space="preserve">Biomedical circuits, systems, and applications </w:t>
      </w:r>
      <w:r w:rsidRPr="00FD0C6B">
        <w:rPr>
          <w:rFonts w:cs="Arial"/>
          <w:sz w:val="22"/>
          <w:szCs w:val="22"/>
        </w:rPr>
        <w:t>including neural interfaces, microarrays, lab-on-a-chip, bio-inspired circuits, implantable and/or wearable systems, closed-loop systems with sensing and actuation, medical imaging, and other biosensors including biomedical signal processing SoCs.</w:t>
      </w:r>
    </w:p>
    <w:p w:rsidR="00FF0EC6" w:rsidRPr="00FD0C6B" w:rsidRDefault="00FF0EC6" w:rsidP="00D73BAD">
      <w:pPr>
        <w:jc w:val="both"/>
        <w:textAlignment w:val="baseline"/>
        <w:rPr>
          <w:rFonts w:cs="Arial"/>
          <w:color w:val="232629"/>
          <w:sz w:val="22"/>
          <w:szCs w:val="22"/>
        </w:rPr>
      </w:pPr>
    </w:p>
    <w:sectPr w:rsidR="00FF0EC6" w:rsidRPr="00FD0C6B" w:rsidSect="00B8525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13B17"/>
    <w:multiLevelType w:val="multilevel"/>
    <w:tmpl w:val="4244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74631A"/>
    <w:multiLevelType w:val="multilevel"/>
    <w:tmpl w:val="64D6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B97E59"/>
    <w:multiLevelType w:val="multilevel"/>
    <w:tmpl w:val="FE407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834B51"/>
    <w:multiLevelType w:val="hybridMultilevel"/>
    <w:tmpl w:val="C2FCC7F8"/>
    <w:lvl w:ilvl="0" w:tplc="6C22E8F6">
      <w:start w:val="1"/>
      <w:numFmt w:val="bullet"/>
      <w:lvlText w:val="•"/>
      <w:lvlJc w:val="left"/>
      <w:pPr>
        <w:tabs>
          <w:tab w:val="num" w:pos="720"/>
        </w:tabs>
        <w:ind w:left="720" w:hanging="360"/>
      </w:pPr>
      <w:rPr>
        <w:rFonts w:ascii="Tahoma" w:hAnsi="Tahoma" w:hint="default"/>
      </w:rPr>
    </w:lvl>
    <w:lvl w:ilvl="1" w:tplc="C9520D28" w:tentative="1">
      <w:start w:val="1"/>
      <w:numFmt w:val="bullet"/>
      <w:lvlText w:val="•"/>
      <w:lvlJc w:val="left"/>
      <w:pPr>
        <w:tabs>
          <w:tab w:val="num" w:pos="1440"/>
        </w:tabs>
        <w:ind w:left="1440" w:hanging="360"/>
      </w:pPr>
      <w:rPr>
        <w:rFonts w:ascii="Tahoma" w:hAnsi="Tahoma" w:hint="default"/>
      </w:rPr>
    </w:lvl>
    <w:lvl w:ilvl="2" w:tplc="36BC32E2" w:tentative="1">
      <w:start w:val="1"/>
      <w:numFmt w:val="bullet"/>
      <w:lvlText w:val="•"/>
      <w:lvlJc w:val="left"/>
      <w:pPr>
        <w:tabs>
          <w:tab w:val="num" w:pos="2160"/>
        </w:tabs>
        <w:ind w:left="2160" w:hanging="360"/>
      </w:pPr>
      <w:rPr>
        <w:rFonts w:ascii="Tahoma" w:hAnsi="Tahoma" w:hint="default"/>
      </w:rPr>
    </w:lvl>
    <w:lvl w:ilvl="3" w:tplc="61CC3968" w:tentative="1">
      <w:start w:val="1"/>
      <w:numFmt w:val="bullet"/>
      <w:lvlText w:val="•"/>
      <w:lvlJc w:val="left"/>
      <w:pPr>
        <w:tabs>
          <w:tab w:val="num" w:pos="2880"/>
        </w:tabs>
        <w:ind w:left="2880" w:hanging="360"/>
      </w:pPr>
      <w:rPr>
        <w:rFonts w:ascii="Tahoma" w:hAnsi="Tahoma" w:hint="default"/>
      </w:rPr>
    </w:lvl>
    <w:lvl w:ilvl="4" w:tplc="B4F81602" w:tentative="1">
      <w:start w:val="1"/>
      <w:numFmt w:val="bullet"/>
      <w:lvlText w:val="•"/>
      <w:lvlJc w:val="left"/>
      <w:pPr>
        <w:tabs>
          <w:tab w:val="num" w:pos="3600"/>
        </w:tabs>
        <w:ind w:left="3600" w:hanging="360"/>
      </w:pPr>
      <w:rPr>
        <w:rFonts w:ascii="Tahoma" w:hAnsi="Tahoma" w:hint="default"/>
      </w:rPr>
    </w:lvl>
    <w:lvl w:ilvl="5" w:tplc="8F24FAF2" w:tentative="1">
      <w:start w:val="1"/>
      <w:numFmt w:val="bullet"/>
      <w:lvlText w:val="•"/>
      <w:lvlJc w:val="left"/>
      <w:pPr>
        <w:tabs>
          <w:tab w:val="num" w:pos="4320"/>
        </w:tabs>
        <w:ind w:left="4320" w:hanging="360"/>
      </w:pPr>
      <w:rPr>
        <w:rFonts w:ascii="Tahoma" w:hAnsi="Tahoma" w:hint="default"/>
      </w:rPr>
    </w:lvl>
    <w:lvl w:ilvl="6" w:tplc="C07019DA" w:tentative="1">
      <w:start w:val="1"/>
      <w:numFmt w:val="bullet"/>
      <w:lvlText w:val="•"/>
      <w:lvlJc w:val="left"/>
      <w:pPr>
        <w:tabs>
          <w:tab w:val="num" w:pos="5040"/>
        </w:tabs>
        <w:ind w:left="5040" w:hanging="360"/>
      </w:pPr>
      <w:rPr>
        <w:rFonts w:ascii="Tahoma" w:hAnsi="Tahoma" w:hint="default"/>
      </w:rPr>
    </w:lvl>
    <w:lvl w:ilvl="7" w:tplc="3BEE9062" w:tentative="1">
      <w:start w:val="1"/>
      <w:numFmt w:val="bullet"/>
      <w:lvlText w:val="•"/>
      <w:lvlJc w:val="left"/>
      <w:pPr>
        <w:tabs>
          <w:tab w:val="num" w:pos="5760"/>
        </w:tabs>
        <w:ind w:left="5760" w:hanging="360"/>
      </w:pPr>
      <w:rPr>
        <w:rFonts w:ascii="Tahoma" w:hAnsi="Tahoma" w:hint="default"/>
      </w:rPr>
    </w:lvl>
    <w:lvl w:ilvl="8" w:tplc="8124CB3C" w:tentative="1">
      <w:start w:val="1"/>
      <w:numFmt w:val="bullet"/>
      <w:lvlText w:val="•"/>
      <w:lvlJc w:val="left"/>
      <w:pPr>
        <w:tabs>
          <w:tab w:val="num" w:pos="6480"/>
        </w:tabs>
        <w:ind w:left="6480" w:hanging="360"/>
      </w:pPr>
      <w:rPr>
        <w:rFonts w:ascii="Tahoma" w:hAnsi="Tahoma" w:hint="default"/>
      </w:rPr>
    </w:lvl>
  </w:abstractNum>
  <w:abstractNum w:abstractNumId="4" w15:restartNumberingAfterBreak="0">
    <w:nsid w:val="4ACF3A34"/>
    <w:multiLevelType w:val="multilevel"/>
    <w:tmpl w:val="302EB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6B4"/>
    <w:rsid w:val="00001031"/>
    <w:rsid w:val="00004037"/>
    <w:rsid w:val="00134BAF"/>
    <w:rsid w:val="001A63FE"/>
    <w:rsid w:val="001E5B6F"/>
    <w:rsid w:val="00276177"/>
    <w:rsid w:val="002A1988"/>
    <w:rsid w:val="002E5780"/>
    <w:rsid w:val="003165C8"/>
    <w:rsid w:val="0034136D"/>
    <w:rsid w:val="0034233D"/>
    <w:rsid w:val="003716B8"/>
    <w:rsid w:val="0038163C"/>
    <w:rsid w:val="003A05E7"/>
    <w:rsid w:val="003C2816"/>
    <w:rsid w:val="003D6A6A"/>
    <w:rsid w:val="00467EF8"/>
    <w:rsid w:val="004738F6"/>
    <w:rsid w:val="00484E31"/>
    <w:rsid w:val="004B7ED1"/>
    <w:rsid w:val="004C1F51"/>
    <w:rsid w:val="0055719B"/>
    <w:rsid w:val="00573134"/>
    <w:rsid w:val="00581577"/>
    <w:rsid w:val="0058480F"/>
    <w:rsid w:val="006006CD"/>
    <w:rsid w:val="0061683C"/>
    <w:rsid w:val="007078B1"/>
    <w:rsid w:val="00774F3B"/>
    <w:rsid w:val="00787F2D"/>
    <w:rsid w:val="007A30B8"/>
    <w:rsid w:val="00810741"/>
    <w:rsid w:val="0085387C"/>
    <w:rsid w:val="008A6E6D"/>
    <w:rsid w:val="008B294C"/>
    <w:rsid w:val="00985966"/>
    <w:rsid w:val="00A926B4"/>
    <w:rsid w:val="00B31436"/>
    <w:rsid w:val="00B8525B"/>
    <w:rsid w:val="00B85FD1"/>
    <w:rsid w:val="00BD2DB6"/>
    <w:rsid w:val="00C71AC2"/>
    <w:rsid w:val="00C95A83"/>
    <w:rsid w:val="00CC582A"/>
    <w:rsid w:val="00D73BAD"/>
    <w:rsid w:val="00DE406A"/>
    <w:rsid w:val="00DF7B23"/>
    <w:rsid w:val="00E645BE"/>
    <w:rsid w:val="00F03C43"/>
    <w:rsid w:val="00F50F3E"/>
    <w:rsid w:val="00F67956"/>
    <w:rsid w:val="00F8607C"/>
    <w:rsid w:val="00FA2741"/>
    <w:rsid w:val="00FD0C6B"/>
    <w:rsid w:val="00FE0475"/>
    <w:rsid w:val="00FF0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37DB97-93E9-4A7B-AA52-D2A42CF79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6B4"/>
    <w:pPr>
      <w:spacing w:after="0" w:line="240" w:lineRule="auto"/>
    </w:pPr>
    <w:rPr>
      <w:rFonts w:ascii="Arial" w:eastAsia="Times New Roman" w:hAnsi="Arial" w:cs="Times New Roman"/>
      <w:snapToGrid w:val="0"/>
      <w:sz w:val="16"/>
      <w:szCs w:val="16"/>
    </w:rPr>
  </w:style>
  <w:style w:type="paragraph" w:styleId="Heading1">
    <w:name w:val="heading 1"/>
    <w:basedOn w:val="Normal"/>
    <w:next w:val="Normal"/>
    <w:link w:val="Heading1Char"/>
    <w:qFormat/>
    <w:rsid w:val="00B85FD1"/>
    <w:pPr>
      <w:keepNext/>
      <w:autoSpaceDE w:val="0"/>
      <w:autoSpaceDN w:val="0"/>
      <w:adjustRightInd w:val="0"/>
      <w:outlineLvl w:val="0"/>
    </w:pPr>
    <w:rPr>
      <w:rFonts w:eastAsia="Batang" w:cs="Arial"/>
      <w:b/>
      <w:bCs/>
      <w:i/>
      <w:iCs/>
      <w:snapToGrid/>
      <w:sz w:val="17"/>
      <w:szCs w:val="1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926B4"/>
    <w:rPr>
      <w:color w:val="0000FF"/>
      <w:u w:val="single"/>
    </w:rPr>
  </w:style>
  <w:style w:type="character" w:customStyle="1" w:styleId="Heading1Char">
    <w:name w:val="Heading 1 Char"/>
    <w:basedOn w:val="DefaultParagraphFont"/>
    <w:link w:val="Heading1"/>
    <w:rsid w:val="00B85FD1"/>
    <w:rPr>
      <w:rFonts w:ascii="Arial" w:eastAsia="Batang" w:hAnsi="Arial" w:cs="Arial"/>
      <w:b/>
      <w:bCs/>
      <w:i/>
      <w:iCs/>
      <w:sz w:val="17"/>
      <w:szCs w:val="17"/>
      <w:lang w:eastAsia="ja-JP"/>
    </w:rPr>
  </w:style>
  <w:style w:type="character" w:customStyle="1" w:styleId="apple-style-span">
    <w:name w:val="apple-style-span"/>
    <w:basedOn w:val="DefaultParagraphFont"/>
    <w:rsid w:val="00B85FD1"/>
  </w:style>
  <w:style w:type="paragraph" w:styleId="PlainText">
    <w:name w:val="Plain Text"/>
    <w:basedOn w:val="Normal"/>
    <w:link w:val="PlainTextChar"/>
    <w:uiPriority w:val="99"/>
    <w:unhideWhenUsed/>
    <w:rsid w:val="004738F6"/>
    <w:rPr>
      <w:rFonts w:ascii="Consolas" w:eastAsiaTheme="minorHAnsi" w:hAnsi="Consolas" w:cstheme="minorBidi"/>
      <w:snapToGrid/>
      <w:sz w:val="21"/>
      <w:szCs w:val="21"/>
    </w:rPr>
  </w:style>
  <w:style w:type="character" w:customStyle="1" w:styleId="PlainTextChar">
    <w:name w:val="Plain Text Char"/>
    <w:basedOn w:val="DefaultParagraphFont"/>
    <w:link w:val="PlainText"/>
    <w:uiPriority w:val="99"/>
    <w:rsid w:val="004738F6"/>
    <w:rPr>
      <w:rFonts w:ascii="Consolas" w:hAnsi="Consolas"/>
      <w:sz w:val="21"/>
      <w:szCs w:val="21"/>
    </w:rPr>
  </w:style>
  <w:style w:type="paragraph" w:styleId="BalloonText">
    <w:name w:val="Balloon Text"/>
    <w:basedOn w:val="Normal"/>
    <w:link w:val="BalloonTextChar"/>
    <w:uiPriority w:val="99"/>
    <w:semiHidden/>
    <w:unhideWhenUsed/>
    <w:rsid w:val="00B8525B"/>
    <w:rPr>
      <w:rFonts w:ascii="Tahoma" w:hAnsi="Tahoma" w:cs="Tahoma"/>
    </w:rPr>
  </w:style>
  <w:style w:type="character" w:customStyle="1" w:styleId="BalloonTextChar">
    <w:name w:val="Balloon Text Char"/>
    <w:basedOn w:val="DefaultParagraphFont"/>
    <w:link w:val="BalloonText"/>
    <w:uiPriority w:val="99"/>
    <w:semiHidden/>
    <w:rsid w:val="00B8525B"/>
    <w:rPr>
      <w:rFonts w:ascii="Tahoma" w:eastAsia="Times New Roman" w:hAnsi="Tahoma" w:cs="Tahoma"/>
      <w:snapToGrid w:val="0"/>
      <w:sz w:val="16"/>
      <w:szCs w:val="16"/>
    </w:rPr>
  </w:style>
  <w:style w:type="paragraph" w:styleId="ListParagraph">
    <w:name w:val="List Paragraph"/>
    <w:basedOn w:val="Normal"/>
    <w:uiPriority w:val="34"/>
    <w:qFormat/>
    <w:rsid w:val="00C71AC2"/>
    <w:pPr>
      <w:ind w:left="720"/>
    </w:pPr>
    <w:rPr>
      <w:rFonts w:ascii="Times New Roman" w:eastAsiaTheme="minorHAnsi" w:hAnsi="Times New Roman"/>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72408">
      <w:bodyDiv w:val="1"/>
      <w:marLeft w:val="0"/>
      <w:marRight w:val="0"/>
      <w:marTop w:val="0"/>
      <w:marBottom w:val="0"/>
      <w:divBdr>
        <w:top w:val="none" w:sz="0" w:space="0" w:color="auto"/>
        <w:left w:val="none" w:sz="0" w:space="0" w:color="auto"/>
        <w:bottom w:val="none" w:sz="0" w:space="0" w:color="auto"/>
        <w:right w:val="none" w:sz="0" w:space="0" w:color="auto"/>
      </w:divBdr>
    </w:div>
    <w:div w:id="478697211">
      <w:bodyDiv w:val="1"/>
      <w:marLeft w:val="0"/>
      <w:marRight w:val="0"/>
      <w:marTop w:val="0"/>
      <w:marBottom w:val="0"/>
      <w:divBdr>
        <w:top w:val="none" w:sz="0" w:space="0" w:color="auto"/>
        <w:left w:val="none" w:sz="0" w:space="0" w:color="auto"/>
        <w:bottom w:val="none" w:sz="0" w:space="0" w:color="auto"/>
        <w:right w:val="none" w:sz="0" w:space="0" w:color="auto"/>
      </w:divBdr>
    </w:div>
    <w:div w:id="939722074">
      <w:bodyDiv w:val="1"/>
      <w:marLeft w:val="0"/>
      <w:marRight w:val="0"/>
      <w:marTop w:val="0"/>
      <w:marBottom w:val="0"/>
      <w:divBdr>
        <w:top w:val="none" w:sz="0" w:space="0" w:color="auto"/>
        <w:left w:val="none" w:sz="0" w:space="0" w:color="auto"/>
        <w:bottom w:val="none" w:sz="0" w:space="0" w:color="auto"/>
        <w:right w:val="none" w:sz="0" w:space="0" w:color="auto"/>
      </w:divBdr>
    </w:div>
    <w:div w:id="1934899409">
      <w:bodyDiv w:val="1"/>
      <w:marLeft w:val="0"/>
      <w:marRight w:val="0"/>
      <w:marTop w:val="0"/>
      <w:marBottom w:val="0"/>
      <w:divBdr>
        <w:top w:val="none" w:sz="0" w:space="0" w:color="auto"/>
        <w:left w:val="none" w:sz="0" w:space="0" w:color="auto"/>
        <w:bottom w:val="none" w:sz="0" w:space="0" w:color="auto"/>
        <w:right w:val="none" w:sz="0" w:space="0" w:color="auto"/>
      </w:divBdr>
    </w:div>
    <w:div w:id="204396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MWiderkehr</dc:creator>
  <cp:lastModifiedBy>Melissa Widerkehr</cp:lastModifiedBy>
  <cp:revision>2</cp:revision>
  <cp:lastPrinted>2016-10-20T16:57:00Z</cp:lastPrinted>
  <dcterms:created xsi:type="dcterms:W3CDTF">2017-09-22T19:51:00Z</dcterms:created>
  <dcterms:modified xsi:type="dcterms:W3CDTF">2017-09-22T19:51:00Z</dcterms:modified>
</cp:coreProperties>
</file>